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5C4BFE" w:rsidRPr="005C4BFE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5C4BFE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5C4BFE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5C4BFE" w:rsidRPr="005C4BFE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CD827C3" w:rsidR="00F92268" w:rsidRPr="005C4BFE" w:rsidRDefault="008A5900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5C4BFE">
              <w:rPr>
                <w:sz w:val="16"/>
                <w:szCs w:val="16"/>
                <w:shd w:val="clear" w:color="auto" w:fill="FFFFFF"/>
              </w:rPr>
              <w:t>18</w:t>
            </w:r>
            <w:r w:rsidR="00265884" w:rsidRPr="005C4BFE">
              <w:rPr>
                <w:sz w:val="16"/>
                <w:szCs w:val="16"/>
                <w:shd w:val="clear" w:color="auto" w:fill="FFFFFF"/>
              </w:rPr>
              <w:t>2</w:t>
            </w:r>
            <w:r w:rsidRPr="005C4BFE">
              <w:rPr>
                <w:sz w:val="16"/>
                <w:szCs w:val="16"/>
                <w:shd w:val="clear" w:color="auto" w:fill="FFFFFF"/>
              </w:rPr>
              <w:t>0-A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E99C337" w:rsidR="004B15BB" w:rsidRPr="00BD1CC1" w:rsidRDefault="000F7193" w:rsidP="00B13DC4">
      <w:pPr>
        <w:pStyle w:val="Heading1"/>
      </w:pPr>
      <w:r>
        <w:t xml:space="preserve">Specialty Guideline </w:t>
      </w:r>
      <w:r w:rsidR="00E55D31">
        <w:t>Management</w:t>
      </w:r>
      <w:r w:rsidR="00233565">
        <w:br/>
      </w:r>
      <w:r w:rsidR="004C3CE7">
        <w:t>Imfinzi</w:t>
      </w:r>
    </w:p>
    <w:p w14:paraId="78861C92" w14:textId="7849C237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0D6A2CB0" w:rsidR="008E0F0D" w:rsidRPr="00F51A9C" w:rsidRDefault="00D82D85" w:rsidP="00F51A9C">
      <w:pPr>
        <w:pStyle w:val="BodyText"/>
      </w:pPr>
      <w:r w:rsidRPr="00F51A9C">
        <w:t xml:space="preserve">Drugs that are listed in the </w:t>
      </w:r>
      <w:r w:rsidR="000315F1" w:rsidRPr="00F51A9C">
        <w:t>following table</w:t>
      </w:r>
      <w:r w:rsidRPr="00F51A9C">
        <w:t xml:space="preserve"> include both brand and generic and all dosage forms and strengths unless otherwise stated. </w:t>
      </w:r>
      <w:r w:rsidR="00A21016">
        <w:t>Over</w:t>
      </w:r>
      <w:r w:rsidR="00024232">
        <w:t>-</w:t>
      </w:r>
      <w:r w:rsidR="00A21016">
        <w:t>the</w:t>
      </w:r>
      <w:r w:rsidR="00024232">
        <w:t>-</w:t>
      </w:r>
      <w:r w:rsidR="00A21016">
        <w:t>counter (</w:t>
      </w:r>
      <w:r w:rsidRPr="00F51A9C">
        <w:t>OTC</w:t>
      </w:r>
      <w:r w:rsidR="00A21016">
        <w:t>)</w:t>
      </w:r>
      <w:r w:rsidRPr="00F51A9C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5C4BFE">
        <w:trPr>
          <w:cantSplit/>
          <w:trHeight w:val="288"/>
          <w:tblHeader/>
        </w:trPr>
        <w:tc>
          <w:tcPr>
            <w:tcW w:w="5265" w:type="dxa"/>
          </w:tcPr>
          <w:p w14:paraId="2A27354A" w14:textId="1390179E" w:rsidR="00252CE1" w:rsidRPr="00BD1CC1" w:rsidRDefault="00252CE1" w:rsidP="005C4BFE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</w:tcPr>
          <w:p w14:paraId="3D342BE1" w14:textId="75F11EF1" w:rsidR="00252CE1" w:rsidRPr="00BD1CC1" w:rsidRDefault="00252CE1" w:rsidP="005C4BFE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78FC0A2D" w:rsidR="00585FFF" w:rsidRPr="00BD1CC1" w:rsidRDefault="00E20637" w:rsidP="005C4BFE">
            <w:pPr>
              <w:pStyle w:val="TableData"/>
              <w:spacing w:after="0"/>
            </w:pPr>
            <w:r w:rsidRPr="00E20637">
              <w:t>Imfinzi</w:t>
            </w:r>
          </w:p>
        </w:tc>
        <w:tc>
          <w:tcPr>
            <w:tcW w:w="5595" w:type="dxa"/>
          </w:tcPr>
          <w:p w14:paraId="7E26A004" w14:textId="4D38F241" w:rsidR="00585FFF" w:rsidRPr="00BD1CC1" w:rsidRDefault="00067D4F" w:rsidP="005C4BFE">
            <w:pPr>
              <w:pStyle w:val="TableData"/>
              <w:spacing w:after="0"/>
            </w:pPr>
            <w:r>
              <w:t>d</w:t>
            </w:r>
            <w:r w:rsidR="00E20637" w:rsidRPr="00E20637">
              <w:t>urvalumab</w:t>
            </w:r>
          </w:p>
        </w:tc>
      </w:tr>
    </w:tbl>
    <w:bookmarkEnd w:id="0"/>
    <w:p w14:paraId="14CE6108" w14:textId="3E240012" w:rsidR="00FC1AAD" w:rsidRPr="005C4BFE" w:rsidRDefault="00ED052F" w:rsidP="00ED052F">
      <w:pPr>
        <w:pStyle w:val="Heading2"/>
      </w:pPr>
      <w:r>
        <w:t>I</w:t>
      </w:r>
      <w:r w:rsidRPr="005C4BFE">
        <w:t>ndications</w:t>
      </w:r>
    </w:p>
    <w:p w14:paraId="4B343E24" w14:textId="3980FA6E" w:rsidR="00AB48C9" w:rsidRPr="00AB48C9" w:rsidRDefault="00AB48C9" w:rsidP="00AB48C9">
      <w:pPr>
        <w:pStyle w:val="BodyText"/>
      </w:pPr>
      <w:r w:rsidRPr="00AB48C9">
        <w:rPr>
          <w:rStyle w:val="normaltextrun"/>
        </w:rPr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4B6B599" w:rsidR="00ED052F" w:rsidRPr="006A7A19" w:rsidRDefault="00ED052F" w:rsidP="00ED052F">
      <w:pPr>
        <w:pStyle w:val="Heading3"/>
        <w:keepNext w:val="0"/>
        <w:rPr>
          <w:vertAlign w:val="superscript"/>
        </w:rPr>
      </w:pPr>
      <w:r w:rsidRPr="00BD1CC1">
        <w:t>FDA-approved Indications</w:t>
      </w:r>
      <w:r w:rsidR="0078073B">
        <w:rPr>
          <w:vertAlign w:val="superscript"/>
        </w:rPr>
        <w:t>1</w:t>
      </w:r>
    </w:p>
    <w:p w14:paraId="10632298" w14:textId="7039F6DA" w:rsidR="004511B5" w:rsidRPr="004511B5" w:rsidRDefault="004511B5" w:rsidP="005D3C93">
      <w:pPr>
        <w:pStyle w:val="ListParagraph"/>
      </w:pPr>
      <w:r w:rsidRPr="004511B5">
        <w:t>Imfinzi</w:t>
      </w:r>
      <w:r w:rsidR="00C04F53">
        <w:t xml:space="preserve">, as a single agent, </w:t>
      </w:r>
      <w:r w:rsidRPr="004511B5">
        <w:t xml:space="preserve"> is indicated for the treatment of adult patients with unresectable, Stage III non-small cell lung cancer (NSCLC) whose disease has not progressed following concurrent platinum-based chemotherapy and radiation therapy.</w:t>
      </w:r>
    </w:p>
    <w:p w14:paraId="4632E3E8" w14:textId="413760EB" w:rsidR="004511B5" w:rsidRPr="004511B5" w:rsidRDefault="004511B5" w:rsidP="005D3C93">
      <w:pPr>
        <w:pStyle w:val="ListParagraph"/>
      </w:pPr>
      <w:r w:rsidRPr="004511B5">
        <w:t>Imfinzi, in combination with etoposide and either carboplatin or cisplatin, is indicated for the first-line treatment of adult patients with extensive-stage small cell lung cancer (ES-SCLC).</w:t>
      </w:r>
    </w:p>
    <w:p w14:paraId="295E0816" w14:textId="048DEAC5" w:rsidR="004511B5" w:rsidRPr="004511B5" w:rsidRDefault="004511B5" w:rsidP="005D3C93">
      <w:pPr>
        <w:pStyle w:val="ListParagraph"/>
      </w:pPr>
      <w:r w:rsidRPr="004511B5">
        <w:t>Imfinzi, in combination with gemcitabine and cisplatin, is indicated for the treatment of adult patients with locally advanced or metastatic biliary tract cancer (BTC).</w:t>
      </w:r>
    </w:p>
    <w:p w14:paraId="1768EE70" w14:textId="53744169" w:rsidR="004511B5" w:rsidRPr="004511B5" w:rsidRDefault="004511B5" w:rsidP="005D3C93">
      <w:pPr>
        <w:pStyle w:val="ListParagraph"/>
      </w:pPr>
      <w:r w:rsidRPr="004511B5">
        <w:t xml:space="preserve">Imfinzi, in combination with </w:t>
      </w:r>
      <w:proofErr w:type="spellStart"/>
      <w:r w:rsidRPr="004511B5">
        <w:t>tremelimumab-actl</w:t>
      </w:r>
      <w:proofErr w:type="spellEnd"/>
      <w:r w:rsidRPr="004511B5">
        <w:t>, is indicated for the treatment of adult patients with unresectable hepatocellular carcinoma (</w:t>
      </w:r>
      <w:proofErr w:type="spellStart"/>
      <w:r w:rsidRPr="004511B5">
        <w:t>uHCC</w:t>
      </w:r>
      <w:proofErr w:type="spellEnd"/>
      <w:r w:rsidRPr="004511B5">
        <w:t>).</w:t>
      </w:r>
    </w:p>
    <w:p w14:paraId="3058A5F8" w14:textId="2DFE3BAD" w:rsidR="005C778C" w:rsidRDefault="004511B5" w:rsidP="005D3C93">
      <w:pPr>
        <w:pStyle w:val="ListParagraph"/>
      </w:pPr>
      <w:r w:rsidRPr="004511B5">
        <w:t xml:space="preserve">Imfinzi, in combination with </w:t>
      </w:r>
      <w:proofErr w:type="spellStart"/>
      <w:r w:rsidRPr="004511B5">
        <w:t>tremelimumab-actl</w:t>
      </w:r>
      <w:proofErr w:type="spellEnd"/>
      <w:r w:rsidRPr="004511B5">
        <w:t xml:space="preserve"> and platinum-based chemotherapy, is indicated for the treatment of adult patients with metastatic non-small cell lung cancer (NSCLC) with no sensitizing epidermal growth factor receptor (EGFR) mutations or anaplastic lymphoma kinase (ALK) genomic tumor aberrations.</w:t>
      </w:r>
    </w:p>
    <w:p w14:paraId="282037A6" w14:textId="0B85FE3D" w:rsidR="00226B23" w:rsidRDefault="00226B23" w:rsidP="005D3C93">
      <w:pPr>
        <w:pStyle w:val="ListParagraph"/>
      </w:pPr>
      <w:r w:rsidRPr="00226B23">
        <w:lastRenderedPageBreak/>
        <w:t>Imfinzi, in combination with carboplatin and paclitaxel followed by Imfinzi as a single agent, is indicated for the treatment of adult patients with primary advanced or recurrent endometrial cancer that is mismatch repair deficient (</w:t>
      </w:r>
      <w:proofErr w:type="spellStart"/>
      <w:r w:rsidRPr="00226B23">
        <w:t>dMMR</w:t>
      </w:r>
      <w:proofErr w:type="spellEnd"/>
      <w:r w:rsidRPr="00226B23">
        <w:t>).</w:t>
      </w:r>
    </w:p>
    <w:p w14:paraId="4F3CC192" w14:textId="25ACED63" w:rsidR="006A3602" w:rsidRDefault="006A3602" w:rsidP="005D3C93">
      <w:pPr>
        <w:pStyle w:val="ListParagraph"/>
      </w:pPr>
      <w:r>
        <w:t>Imfinzi, in combination with platinum-con</w:t>
      </w:r>
      <w:r w:rsidR="00775C15">
        <w:t>taining</w:t>
      </w:r>
      <w:r>
        <w:t xml:space="preserve"> chemotherapy as neoadjuvant treatment, followed by Imfinzi continued as a single agent as adjuvant treatment after surgery, is indicated for the treatment of adult patients with resectable (tumors </w:t>
      </w:r>
      <w:r>
        <w:rPr>
          <w:rFonts w:ascii="Times New Roman" w:hAnsi="Times New Roman" w:cs="Times New Roman"/>
        </w:rPr>
        <w:t>≥</w:t>
      </w:r>
      <w:r>
        <w:t xml:space="preserve"> 4 cm and/or node positive) non-small cell lung cancer (NSCLC) and no known epidermal growth factor receptor (EGFR) mutations or anaplastic lymphoma kinase (ALK) rearrangements.</w:t>
      </w:r>
    </w:p>
    <w:p w14:paraId="379A495C" w14:textId="689F565B" w:rsidR="009F51E0" w:rsidRPr="00255903" w:rsidRDefault="009F51E0" w:rsidP="005D3C93">
      <w:pPr>
        <w:pStyle w:val="ListParagraph"/>
      </w:pPr>
      <w:r>
        <w:t>Imfinzi, as a single agent, is indicated for the treatment of adult patients with limited-stage small cell lung cancer (LS-SCLC) whose disease has not progressed following concurrent platinum-based chemotherapy and radiation therapy.</w:t>
      </w:r>
    </w:p>
    <w:p w14:paraId="0B5EC236" w14:textId="1837B615" w:rsidR="0044763A" w:rsidRPr="00215648" w:rsidRDefault="009F2EF1" w:rsidP="0044763A">
      <w:pPr>
        <w:pStyle w:val="Heading3"/>
        <w:rPr>
          <w:vertAlign w:val="superscript"/>
        </w:rPr>
      </w:pPr>
      <w:r>
        <w:t>Compendial Uses</w:t>
      </w:r>
      <w:r w:rsidR="00226B23">
        <w:rPr>
          <w:vertAlign w:val="superscript"/>
        </w:rPr>
        <w:t>2</w:t>
      </w:r>
      <w:r w:rsidR="009B3387">
        <w:rPr>
          <w:vertAlign w:val="superscript"/>
        </w:rPr>
        <w:t>-</w:t>
      </w:r>
      <w:r w:rsidR="002D643F">
        <w:rPr>
          <w:vertAlign w:val="superscript"/>
        </w:rPr>
        <w:t>6</w:t>
      </w:r>
    </w:p>
    <w:p w14:paraId="0810D4D8" w14:textId="0BFA9C0E" w:rsidR="00136D9C" w:rsidRPr="00136D9C" w:rsidRDefault="00136D9C" w:rsidP="0034771D">
      <w:pPr>
        <w:pStyle w:val="ListParagraph"/>
      </w:pPr>
      <w:r w:rsidRPr="00136D9C">
        <w:t>Cervical Cancer</w:t>
      </w:r>
    </w:p>
    <w:p w14:paraId="08C219C5" w14:textId="2841720B" w:rsidR="00136D9C" w:rsidRPr="00136D9C" w:rsidRDefault="00136D9C" w:rsidP="0034771D">
      <w:pPr>
        <w:pStyle w:val="ListParagraph"/>
      </w:pPr>
      <w:r w:rsidRPr="00136D9C">
        <w:t>Non-Small Cell Lung Cancer</w:t>
      </w:r>
    </w:p>
    <w:p w14:paraId="19634FFE" w14:textId="71C0E93C" w:rsidR="00136D9C" w:rsidRPr="00136D9C" w:rsidRDefault="00136D9C" w:rsidP="0034771D">
      <w:pPr>
        <w:pStyle w:val="ListParagraph"/>
      </w:pPr>
      <w:r w:rsidRPr="00136D9C">
        <w:t>Small Cell Lung Cancer</w:t>
      </w:r>
    </w:p>
    <w:p w14:paraId="12008A4F" w14:textId="10C08974" w:rsidR="00136D9C" w:rsidRPr="00136D9C" w:rsidRDefault="00136D9C" w:rsidP="0034771D">
      <w:pPr>
        <w:pStyle w:val="ListParagraph"/>
      </w:pPr>
      <w:r w:rsidRPr="00136D9C">
        <w:t>Ampullary Adenocarcinoma</w:t>
      </w:r>
    </w:p>
    <w:p w14:paraId="39C6B3AB" w14:textId="4565D4EC" w:rsidR="00136D9C" w:rsidRPr="00136D9C" w:rsidRDefault="00136D9C" w:rsidP="0034771D">
      <w:pPr>
        <w:pStyle w:val="ListParagraph"/>
      </w:pPr>
      <w:r w:rsidRPr="00136D9C">
        <w:t>Pleural Mesothelioma</w:t>
      </w:r>
    </w:p>
    <w:p w14:paraId="16E77F17" w14:textId="6EA63AE6" w:rsidR="00136D9C" w:rsidRPr="00136D9C" w:rsidRDefault="00136D9C" w:rsidP="0034771D">
      <w:pPr>
        <w:pStyle w:val="ListParagraph"/>
      </w:pPr>
      <w:r w:rsidRPr="00136D9C">
        <w:t>Hepatocellular Carcinoma</w:t>
      </w:r>
    </w:p>
    <w:p w14:paraId="4A035246" w14:textId="7A2E693C" w:rsidR="00136D9C" w:rsidRPr="00136D9C" w:rsidRDefault="00136D9C" w:rsidP="0034771D">
      <w:pPr>
        <w:pStyle w:val="ListParagraph"/>
      </w:pPr>
      <w:r w:rsidRPr="00136D9C">
        <w:t>Esophageal and Esophagogastric Junction Cancer</w:t>
      </w:r>
    </w:p>
    <w:p w14:paraId="7C7814C1" w14:textId="61882159" w:rsidR="00136D9C" w:rsidRPr="00136D9C" w:rsidRDefault="00136D9C" w:rsidP="0034771D">
      <w:pPr>
        <w:pStyle w:val="ListParagraph"/>
      </w:pPr>
      <w:r w:rsidRPr="00136D9C">
        <w:t>Gastric Cancer</w:t>
      </w:r>
    </w:p>
    <w:p w14:paraId="25C11B56" w14:textId="3E744B98" w:rsidR="00136D9C" w:rsidRPr="00136D9C" w:rsidRDefault="00136D9C" w:rsidP="0034771D">
      <w:pPr>
        <w:pStyle w:val="ListParagraph"/>
      </w:pPr>
      <w:r w:rsidRPr="00136D9C">
        <w:t>Biliary Tract Cancer</w:t>
      </w:r>
    </w:p>
    <w:p w14:paraId="7C428961" w14:textId="0E84CE27" w:rsidR="00136D9C" w:rsidRPr="00136D9C" w:rsidRDefault="00136D9C" w:rsidP="005D3C93">
      <w:pPr>
        <w:pStyle w:val="ListParagraph"/>
        <w:numPr>
          <w:ilvl w:val="1"/>
          <w:numId w:val="20"/>
        </w:numPr>
      </w:pPr>
      <w:r w:rsidRPr="00136D9C">
        <w:t>Intrahepatic Cholangiocarcinoma</w:t>
      </w:r>
    </w:p>
    <w:p w14:paraId="1F9D57F5" w14:textId="17E57008" w:rsidR="00136D9C" w:rsidRPr="00136D9C" w:rsidRDefault="00136D9C" w:rsidP="005D3C93">
      <w:pPr>
        <w:pStyle w:val="ListParagraph"/>
        <w:numPr>
          <w:ilvl w:val="1"/>
          <w:numId w:val="20"/>
        </w:numPr>
      </w:pPr>
      <w:r w:rsidRPr="00136D9C">
        <w:t>Extrahepatic Cholangiocarcinoma</w:t>
      </w:r>
    </w:p>
    <w:p w14:paraId="72442672" w14:textId="5807AFC8" w:rsidR="00136D9C" w:rsidRDefault="00136D9C" w:rsidP="005D3C93">
      <w:pPr>
        <w:pStyle w:val="ListParagraph"/>
        <w:numPr>
          <w:ilvl w:val="1"/>
          <w:numId w:val="20"/>
        </w:numPr>
      </w:pPr>
      <w:r w:rsidRPr="00136D9C">
        <w:t>Gallbladder Cancer</w:t>
      </w:r>
    </w:p>
    <w:p w14:paraId="3223561D" w14:textId="1CC5E3BB" w:rsidR="004C6C11" w:rsidRPr="00136D9C" w:rsidRDefault="004C6C11" w:rsidP="008E057B">
      <w:pPr>
        <w:pStyle w:val="ListParagraph"/>
      </w:pPr>
      <w:r>
        <w:t>Bladder Cancer</w:t>
      </w:r>
    </w:p>
    <w:p w14:paraId="0D5A9DD5" w14:textId="322C32C1" w:rsidR="009A5649" w:rsidRPr="0034771D" w:rsidRDefault="001C1653" w:rsidP="0034771D">
      <w:pPr>
        <w:pStyle w:val="BodyText"/>
        <w:rPr>
          <w:rFonts w:eastAsia="Arial"/>
        </w:rPr>
      </w:pPr>
      <w:r w:rsidRPr="0034771D">
        <w:rPr>
          <w:rStyle w:val="normaltextrun"/>
        </w:rPr>
        <w:t>All other indications are considered experimental/investigational and not medically necessary.</w:t>
      </w:r>
    </w:p>
    <w:p w14:paraId="36381B6D" w14:textId="64A3F040" w:rsidR="000D2496" w:rsidRPr="00F51A9C" w:rsidRDefault="000D2496" w:rsidP="00F51A9C">
      <w:pPr>
        <w:pStyle w:val="Heading2"/>
        <w:rPr>
          <w:rFonts w:eastAsia="Arial"/>
        </w:rPr>
      </w:pPr>
      <w:r w:rsidRPr="00F51A9C">
        <w:t>Documentation</w:t>
      </w:r>
    </w:p>
    <w:p w14:paraId="6ACEA713" w14:textId="0044B4CD" w:rsidR="006C6B5C" w:rsidRPr="001300EF" w:rsidRDefault="006C6B5C" w:rsidP="001300EF">
      <w:pPr>
        <w:pStyle w:val="BodyText"/>
      </w:pPr>
      <w:r w:rsidRPr="001300EF">
        <w:t>Submission of the following information is necessary to initiate the prior authorization review:</w:t>
      </w:r>
    </w:p>
    <w:p w14:paraId="14EC70A0" w14:textId="5F5F731F" w:rsidR="006C6B5C" w:rsidRPr="006C6B5C" w:rsidRDefault="006C6B5C" w:rsidP="005D3C93">
      <w:pPr>
        <w:pStyle w:val="ListParagraph"/>
      </w:pPr>
      <w:r w:rsidRPr="006C6B5C">
        <w:t xml:space="preserve">Documentation of the absence of EGFR exon 19 deletion and </w:t>
      </w:r>
      <w:r w:rsidR="004C32EB">
        <w:t xml:space="preserve">exon 21 </w:t>
      </w:r>
      <w:r w:rsidRPr="006C6B5C">
        <w:t>L858R mutations and ALK rearrangements, where applicable (unless testing is not feasible due to insufficient tissue).</w:t>
      </w:r>
    </w:p>
    <w:p w14:paraId="7649CF85" w14:textId="2424CC2E" w:rsidR="00B031F5" w:rsidRPr="00B031F5" w:rsidRDefault="006C6B5C" w:rsidP="005D3C93">
      <w:pPr>
        <w:pStyle w:val="ListParagraph"/>
      </w:pPr>
      <w:r w:rsidRPr="006C6B5C">
        <w:t>Documentation of laboratory report confirming microsatellite instability-high (MSI-H) or mismatch repair deficient (</w:t>
      </w:r>
      <w:proofErr w:type="spellStart"/>
      <w:r w:rsidRPr="006C6B5C">
        <w:t>dMMR</w:t>
      </w:r>
      <w:proofErr w:type="spellEnd"/>
      <w:r w:rsidRPr="006C6B5C">
        <w:t>) tumor status, where applicable.</w:t>
      </w:r>
    </w:p>
    <w:p w14:paraId="65A12794" w14:textId="32B9CCC4" w:rsidR="000D5101" w:rsidRPr="00AA1E6A" w:rsidRDefault="004715CD" w:rsidP="00E050E1">
      <w:pPr>
        <w:pStyle w:val="Heading2"/>
      </w:pPr>
      <w:r w:rsidRPr="00BD1CC1">
        <w:t>Exclusions</w:t>
      </w:r>
    </w:p>
    <w:p w14:paraId="79C47276" w14:textId="453125EB" w:rsidR="00C75C02" w:rsidRPr="006C6B5C" w:rsidRDefault="006C6B5C" w:rsidP="006C6B5C">
      <w:pPr>
        <w:pStyle w:val="BodyText"/>
      </w:pPr>
      <w:r w:rsidRPr="006C6B5C">
        <w:rPr>
          <w:rStyle w:val="normaltextrun"/>
        </w:rPr>
        <w:t>Coverage will not be provided for members who have experienced disease progression while on PD-1 or PD-L1 inhibitor therapy.</w:t>
      </w:r>
    </w:p>
    <w:p w14:paraId="50A38FBA" w14:textId="17B67C54" w:rsidR="00FE0C63" w:rsidRPr="000D29DC" w:rsidRDefault="00685107" w:rsidP="00E050E1">
      <w:pPr>
        <w:pStyle w:val="Heading2"/>
        <w:rPr>
          <w:vertAlign w:val="superscript"/>
        </w:rPr>
      </w:pPr>
      <w:r>
        <w:t>Coverage Criteria</w:t>
      </w:r>
    </w:p>
    <w:p w14:paraId="649B0D13" w14:textId="2C5076A1" w:rsidR="00823862" w:rsidRPr="006A7A19" w:rsidRDefault="00823862" w:rsidP="00823862">
      <w:pPr>
        <w:pStyle w:val="Heading3"/>
        <w:rPr>
          <w:vertAlign w:val="superscript"/>
        </w:rPr>
      </w:pPr>
      <w:proofErr w:type="spellStart"/>
      <w:r w:rsidRPr="00823862">
        <w:t>Non</w:t>
      </w:r>
      <w:proofErr w:type="spellEnd"/>
      <w:r w:rsidRPr="00823862">
        <w:t>-small cell lung cancer (NSCLC)</w:t>
      </w:r>
      <w:r w:rsidR="00F643AA">
        <w:rPr>
          <w:vertAlign w:val="superscript"/>
        </w:rPr>
        <w:t>1</w:t>
      </w:r>
      <w:r w:rsidR="0056215E">
        <w:rPr>
          <w:vertAlign w:val="superscript"/>
        </w:rPr>
        <w:t>,2</w:t>
      </w:r>
    </w:p>
    <w:p w14:paraId="2B5178E5" w14:textId="37DA4338" w:rsidR="00823862" w:rsidRPr="000D29DC" w:rsidRDefault="00823862" w:rsidP="00823862">
      <w:pPr>
        <w:pStyle w:val="BodyText"/>
        <w:rPr>
          <w:rFonts w:cs="Segoe UI"/>
        </w:rPr>
      </w:pPr>
      <w:r w:rsidRPr="00823862">
        <w:t xml:space="preserve">Authorization of 6 months may be granted for treatment of NSCLC when </w:t>
      </w:r>
      <w:r w:rsidR="00F5617F">
        <w:t>any</w:t>
      </w:r>
      <w:r w:rsidRPr="00823862">
        <w:t xml:space="preserve"> of the following criteria are met:</w:t>
      </w:r>
    </w:p>
    <w:p w14:paraId="6F97A309" w14:textId="5D83AAEA" w:rsidR="00823862" w:rsidRPr="00823862" w:rsidRDefault="00823862" w:rsidP="001A0669">
      <w:pPr>
        <w:pStyle w:val="ListParagraph"/>
        <w:keepNext/>
      </w:pPr>
      <w:r w:rsidRPr="00823862">
        <w:t xml:space="preserve">The member has unresectable stage II or III </w:t>
      </w:r>
      <w:r w:rsidRPr="00823862">
        <w:rPr>
          <w:color w:val="000000"/>
        </w:rPr>
        <w:t>NSCLC</w:t>
      </w:r>
      <w:r w:rsidRPr="00823862">
        <w:t xml:space="preserve"> that has not progressed following concurrent platinum-based chemotherapy and radiation therapy.</w:t>
      </w:r>
    </w:p>
    <w:p w14:paraId="275672CD" w14:textId="1F40BEC2" w:rsidR="00823862" w:rsidRPr="00823862" w:rsidRDefault="00823862" w:rsidP="00F51A9C">
      <w:pPr>
        <w:pStyle w:val="ListParagraph"/>
        <w:keepNext/>
      </w:pPr>
      <w:r w:rsidRPr="00823862">
        <w:t>The member has recurrent, advanced or metastatic NSCLC and meets all of the following criteria:</w:t>
      </w:r>
    </w:p>
    <w:p w14:paraId="3A7EF6EB" w14:textId="11E2D399" w:rsidR="00823862" w:rsidRPr="00823862" w:rsidRDefault="00823862" w:rsidP="00F51A9C">
      <w:pPr>
        <w:pStyle w:val="ListParagraph"/>
        <w:keepNext/>
        <w:numPr>
          <w:ilvl w:val="1"/>
          <w:numId w:val="20"/>
        </w:numPr>
      </w:pPr>
      <w:r w:rsidRPr="00823862">
        <w:t xml:space="preserve">The requested medication will be used in combination with </w:t>
      </w:r>
      <w:proofErr w:type="spellStart"/>
      <w:r w:rsidRPr="00823862">
        <w:t>tremelimumab-actl</w:t>
      </w:r>
      <w:proofErr w:type="spellEnd"/>
      <w:r w:rsidRPr="00823862">
        <w:t xml:space="preserve"> (</w:t>
      </w:r>
      <w:proofErr w:type="spellStart"/>
      <w:r w:rsidRPr="00823862">
        <w:t>Imjudo</w:t>
      </w:r>
      <w:proofErr w:type="spellEnd"/>
      <w:r w:rsidRPr="00823862">
        <w:t>) and platinum-based chemotherapy</w:t>
      </w:r>
    </w:p>
    <w:p w14:paraId="33D3640C" w14:textId="6AA84D3B" w:rsidR="00823862" w:rsidRDefault="00823862" w:rsidP="005D3C93">
      <w:pPr>
        <w:pStyle w:val="ListParagraph"/>
        <w:numPr>
          <w:ilvl w:val="1"/>
          <w:numId w:val="20"/>
        </w:numPr>
      </w:pPr>
      <w:r w:rsidRPr="00823862">
        <w:t xml:space="preserve">The tumor is negative for EGFR exon 19 deletion and </w:t>
      </w:r>
      <w:r w:rsidR="00001367">
        <w:t xml:space="preserve">exon 21 </w:t>
      </w:r>
      <w:r w:rsidRPr="00823862">
        <w:t>L858R mutations and ALK rearrangements.</w:t>
      </w:r>
    </w:p>
    <w:p w14:paraId="6BD1CC6A" w14:textId="56404835" w:rsidR="00F5617F" w:rsidRDefault="00F5617F" w:rsidP="00F5617F">
      <w:pPr>
        <w:pStyle w:val="ListParagraph"/>
        <w:keepNext/>
      </w:pPr>
      <w:r w:rsidRPr="00823862">
        <w:t xml:space="preserve">The member has </w:t>
      </w:r>
      <w:r>
        <w:t>resectable</w:t>
      </w:r>
      <w:r w:rsidRPr="00823862">
        <w:t xml:space="preserve"> NSCLC and meets all of the following criteria:</w:t>
      </w:r>
    </w:p>
    <w:p w14:paraId="49DAFFD3" w14:textId="1C0491DE" w:rsidR="00F5617F" w:rsidRDefault="00F5617F" w:rsidP="00F5617F">
      <w:pPr>
        <w:pStyle w:val="ListParagraph"/>
        <w:keepNext/>
        <w:numPr>
          <w:ilvl w:val="1"/>
          <w:numId w:val="20"/>
        </w:numPr>
      </w:pPr>
      <w:r w:rsidRPr="00823862">
        <w:t xml:space="preserve">The requested medication will be used </w:t>
      </w:r>
      <w:r>
        <w:t>as neoadjuvant treatment in combination with platinum-con</w:t>
      </w:r>
      <w:r w:rsidR="007539C6">
        <w:t>taining</w:t>
      </w:r>
      <w:r>
        <w:t xml:space="preserve"> chemotherapy and continued as adjuvant treatment after surgery as a single agent</w:t>
      </w:r>
    </w:p>
    <w:p w14:paraId="72286D38" w14:textId="307A776C" w:rsidR="00F5617F" w:rsidRPr="00823862" w:rsidRDefault="00F5617F" w:rsidP="00F5617F">
      <w:pPr>
        <w:pStyle w:val="ListParagraph"/>
        <w:keepNext/>
        <w:numPr>
          <w:ilvl w:val="1"/>
          <w:numId w:val="20"/>
        </w:numPr>
      </w:pPr>
      <w:r>
        <w:t>The tumor is negative for EGFR</w:t>
      </w:r>
      <w:r w:rsidR="006439B5">
        <w:t xml:space="preserve"> </w:t>
      </w:r>
      <w:r w:rsidR="006439B5" w:rsidRPr="00823862">
        <w:t xml:space="preserve">exon 19 deletion and </w:t>
      </w:r>
      <w:r w:rsidR="00001367">
        <w:t xml:space="preserve">exon 21 </w:t>
      </w:r>
      <w:r w:rsidR="006439B5" w:rsidRPr="00823862">
        <w:t>L858R</w:t>
      </w:r>
      <w:r>
        <w:t xml:space="preserve"> mutations and ALK rearrangements</w:t>
      </w:r>
    </w:p>
    <w:p w14:paraId="78401A8F" w14:textId="03BFA9C5" w:rsidR="00823862" w:rsidRPr="006A7A19" w:rsidRDefault="00D04034" w:rsidP="001300EF">
      <w:pPr>
        <w:pStyle w:val="Heading3"/>
        <w:rPr>
          <w:vertAlign w:val="superscript"/>
        </w:rPr>
      </w:pPr>
      <w:r>
        <w:t>S</w:t>
      </w:r>
      <w:r w:rsidR="00823862" w:rsidRPr="00823862">
        <w:t>mall cell lung cancer (SCLC)</w:t>
      </w:r>
      <w:r w:rsidR="00645AFB">
        <w:rPr>
          <w:vertAlign w:val="superscript"/>
        </w:rPr>
        <w:t>1-2</w:t>
      </w:r>
      <w:r w:rsidR="009B3387">
        <w:rPr>
          <w:vertAlign w:val="superscript"/>
        </w:rPr>
        <w:t>,5</w:t>
      </w:r>
    </w:p>
    <w:p w14:paraId="4AC791E2" w14:textId="77777777" w:rsidR="00D04034" w:rsidRDefault="00823862" w:rsidP="00EC665F">
      <w:pPr>
        <w:pStyle w:val="BodyText"/>
      </w:pPr>
      <w:r w:rsidRPr="00823862">
        <w:t>Authorization of 6 months may be granted for</w:t>
      </w:r>
      <w:r w:rsidR="00D04034">
        <w:t xml:space="preserve"> treatment of small cell lung cancer when either of the following criteria is met:</w:t>
      </w:r>
    </w:p>
    <w:p w14:paraId="37D379E1" w14:textId="7CE81D4A" w:rsidR="00823862" w:rsidRPr="00D861D7" w:rsidRDefault="00D04034" w:rsidP="00D04034">
      <w:pPr>
        <w:pStyle w:val="BodyText"/>
        <w:numPr>
          <w:ilvl w:val="0"/>
          <w:numId w:val="23"/>
        </w:numPr>
        <w:rPr>
          <w:rFonts w:cs="Segoe UI"/>
        </w:rPr>
      </w:pPr>
      <w:r>
        <w:t xml:space="preserve">The requested medication will be used for </w:t>
      </w:r>
      <w:r w:rsidR="00823862" w:rsidRPr="00823862">
        <w:t>first-line treatment of extensive-stage small cell lung cancer in combination with etoposide and either carboplatin or cisplatin followed by single agent maintenance.</w:t>
      </w:r>
    </w:p>
    <w:p w14:paraId="1B7861AA" w14:textId="6AF945A2" w:rsidR="00D04034" w:rsidRPr="0023263A" w:rsidRDefault="00D04034" w:rsidP="003649C6">
      <w:pPr>
        <w:pStyle w:val="BodyText"/>
        <w:numPr>
          <w:ilvl w:val="0"/>
          <w:numId w:val="23"/>
        </w:numPr>
        <w:rPr>
          <w:rFonts w:cs="Segoe UI"/>
        </w:rPr>
      </w:pPr>
      <w:r>
        <w:t>The requested medication will be used for adjuvant consolidation therapy as a single agent for treatment of limited stage small cell lung cancer</w:t>
      </w:r>
      <w:r w:rsidR="005E633A">
        <w:t xml:space="preserve"> and the member did not experience disease progression after systemic therapy with concurrent radiation therapy</w:t>
      </w:r>
      <w:r>
        <w:t>.</w:t>
      </w:r>
    </w:p>
    <w:p w14:paraId="46F780CF" w14:textId="3CF3B073" w:rsidR="00823862" w:rsidRPr="006A7A19" w:rsidRDefault="00823862" w:rsidP="00CC7BFA">
      <w:pPr>
        <w:pStyle w:val="Heading3"/>
        <w:rPr>
          <w:vertAlign w:val="superscript"/>
        </w:rPr>
      </w:pPr>
      <w:r w:rsidRPr="00823862">
        <w:t>Cervical Cancer</w:t>
      </w:r>
      <w:r w:rsidR="00F0736F">
        <w:rPr>
          <w:vertAlign w:val="superscript"/>
        </w:rPr>
        <w:t>2</w:t>
      </w:r>
    </w:p>
    <w:p w14:paraId="6DC6A17E" w14:textId="38E8757F" w:rsidR="00823862" w:rsidRPr="0023263A" w:rsidRDefault="00823862" w:rsidP="00EC665F">
      <w:pPr>
        <w:pStyle w:val="BodyText"/>
        <w:rPr>
          <w:rFonts w:cs="Segoe UI"/>
        </w:rPr>
      </w:pPr>
      <w:r w:rsidRPr="00823862">
        <w:t>Authorization of 6 months may be granted for treatment of persistent, recurrent or metastatic small cell neuroendocrine carcinoma of the cervix (NECC) when used in combination with etoposide and either cisplatin or carboplatin</w:t>
      </w:r>
      <w:r w:rsidR="00001367">
        <w:t xml:space="preserve"> and continued as single agent maintenance therapy</w:t>
      </w:r>
      <w:r w:rsidRPr="00823862">
        <w:t>.</w:t>
      </w:r>
    </w:p>
    <w:p w14:paraId="782E5CE0" w14:textId="78ADE008" w:rsidR="00823862" w:rsidRPr="006A7A19" w:rsidRDefault="00823862" w:rsidP="00CC7BFA">
      <w:pPr>
        <w:pStyle w:val="Heading3"/>
        <w:rPr>
          <w:vertAlign w:val="superscript"/>
        </w:rPr>
      </w:pPr>
      <w:r w:rsidRPr="00823862">
        <w:t>Ampullary Adenocarcinoma</w:t>
      </w:r>
      <w:r w:rsidR="00467FB6">
        <w:rPr>
          <w:vertAlign w:val="superscript"/>
        </w:rPr>
        <w:t>2</w:t>
      </w:r>
    </w:p>
    <w:p w14:paraId="25ADF231" w14:textId="20B7C2D5" w:rsidR="00823862" w:rsidRPr="00D861D7" w:rsidRDefault="00823862" w:rsidP="00561506">
      <w:pPr>
        <w:pStyle w:val="BodyText"/>
        <w:rPr>
          <w:rFonts w:cs="Segoe UI"/>
        </w:rPr>
      </w:pPr>
      <w:r w:rsidRPr="00823862">
        <w:t>Authorization of 6 months may be granted for first-line treatment of unresectable or metastatic ampullary adenocarcinoma when both of the following criteria are met:</w:t>
      </w:r>
    </w:p>
    <w:p w14:paraId="1D30FC2C" w14:textId="44BA1A94" w:rsidR="00823862" w:rsidRPr="00823862" w:rsidRDefault="00823862" w:rsidP="00EC665F">
      <w:pPr>
        <w:pStyle w:val="ListParagraph"/>
      </w:pPr>
      <w:r w:rsidRPr="00823862">
        <w:t xml:space="preserve">The disease is </w:t>
      </w:r>
      <w:proofErr w:type="spellStart"/>
      <w:r w:rsidRPr="00823862">
        <w:t>pancreatobiliary</w:t>
      </w:r>
      <w:proofErr w:type="spellEnd"/>
      <w:r w:rsidRPr="00823862">
        <w:t xml:space="preserve"> or mixed type</w:t>
      </w:r>
    </w:p>
    <w:p w14:paraId="6AA19A8F" w14:textId="329A7842" w:rsidR="00823862" w:rsidRPr="00EC665F" w:rsidRDefault="00823862" w:rsidP="00EC665F">
      <w:pPr>
        <w:pStyle w:val="ListParagraph"/>
      </w:pPr>
      <w:r w:rsidRPr="00823862">
        <w:t>The requested medication will be used in combination with cisplatin and gemcitabine</w:t>
      </w:r>
    </w:p>
    <w:p w14:paraId="54B350B7" w14:textId="76B9C27A" w:rsidR="00823862" w:rsidRPr="006A7A19" w:rsidRDefault="00823862" w:rsidP="00CC7BFA">
      <w:pPr>
        <w:pStyle w:val="Heading3"/>
        <w:rPr>
          <w:vertAlign w:val="superscript"/>
        </w:rPr>
      </w:pPr>
      <w:r w:rsidRPr="00823862">
        <w:t>Pleural Mesothelioma</w:t>
      </w:r>
      <w:r w:rsidR="00EB79E8">
        <w:rPr>
          <w:vertAlign w:val="superscript"/>
        </w:rPr>
        <w:t>3</w:t>
      </w:r>
    </w:p>
    <w:p w14:paraId="0817A106" w14:textId="22A58427" w:rsidR="00823862" w:rsidRPr="001A0EE9" w:rsidRDefault="00823862" w:rsidP="00EC665F">
      <w:pPr>
        <w:pStyle w:val="BodyText"/>
        <w:rPr>
          <w:rFonts w:cs="Segoe UI"/>
        </w:rPr>
      </w:pPr>
      <w:r w:rsidRPr="00823862">
        <w:t>Authorization of 6 months may be granted for first-line treatment of unresectable pleural mesothelioma when used in combination with pemetrexed and either cisplatin or carboplatin.</w:t>
      </w:r>
    </w:p>
    <w:p w14:paraId="0D890AAC" w14:textId="6C6F51F9" w:rsidR="00823862" w:rsidRPr="006A7A19" w:rsidRDefault="00823862" w:rsidP="00CC7BFA">
      <w:pPr>
        <w:pStyle w:val="Heading3"/>
        <w:rPr>
          <w:vertAlign w:val="superscript"/>
        </w:rPr>
      </w:pPr>
      <w:r w:rsidRPr="00823862">
        <w:t>Hepatocellular Carcinoma</w:t>
      </w:r>
      <w:r w:rsidR="00EB79E8">
        <w:rPr>
          <w:vertAlign w:val="superscript"/>
        </w:rPr>
        <w:t>1</w:t>
      </w:r>
      <w:r w:rsidR="00652D1E">
        <w:rPr>
          <w:vertAlign w:val="superscript"/>
        </w:rPr>
        <w:t>,2</w:t>
      </w:r>
    </w:p>
    <w:p w14:paraId="5D6B1165" w14:textId="62D22A6F" w:rsidR="00823862" w:rsidRPr="00823862" w:rsidRDefault="00823862" w:rsidP="00F015EA">
      <w:pPr>
        <w:pStyle w:val="BodyText"/>
        <w:rPr>
          <w:rFonts w:ascii="Segoe UI" w:hAnsi="Segoe UI" w:cs="Segoe UI"/>
          <w:sz w:val="18"/>
          <w:szCs w:val="18"/>
        </w:rPr>
      </w:pPr>
      <w:r w:rsidRPr="00823862">
        <w:t xml:space="preserve">Authorization of 6 months may be granted for </w:t>
      </w:r>
      <w:r w:rsidR="00CA3E70">
        <w:t xml:space="preserve">first-line </w:t>
      </w:r>
      <w:r w:rsidRPr="00823862">
        <w:t>treatment of hepatocellular carcinoma</w:t>
      </w:r>
      <w:r w:rsidR="00CA3E70">
        <w:t xml:space="preserve"> as a single agent or in combination with </w:t>
      </w:r>
      <w:proofErr w:type="spellStart"/>
      <w:r w:rsidR="00CA3E70">
        <w:t>tremelimumab-actl</w:t>
      </w:r>
      <w:proofErr w:type="spellEnd"/>
      <w:r w:rsidR="00CA3E70">
        <w:t xml:space="preserve"> (</w:t>
      </w:r>
      <w:proofErr w:type="spellStart"/>
      <w:r w:rsidR="00CA3E70">
        <w:t>Imjudo</w:t>
      </w:r>
      <w:proofErr w:type="spellEnd"/>
      <w:r w:rsidR="00CA3E70">
        <w:t>)</w:t>
      </w:r>
      <w:r w:rsidRPr="00823862">
        <w:t xml:space="preserve"> when </w:t>
      </w:r>
      <w:r w:rsidR="007620F2">
        <w:t>both</w:t>
      </w:r>
      <w:r w:rsidRPr="00823862">
        <w:t xml:space="preserve"> of the following criteria are met:</w:t>
      </w:r>
    </w:p>
    <w:p w14:paraId="6F873045" w14:textId="485BA7F8" w:rsidR="00823862" w:rsidRPr="00823862" w:rsidRDefault="00823862" w:rsidP="00EC665F">
      <w:pPr>
        <w:pStyle w:val="ListParagraph"/>
      </w:pPr>
      <w:r w:rsidRPr="00823862">
        <w:t>The</w:t>
      </w:r>
      <w:r w:rsidR="007620F2">
        <w:t xml:space="preserve"> disease is un</w:t>
      </w:r>
      <w:r w:rsidRPr="00823862">
        <w:t>resectable</w:t>
      </w:r>
      <w:r w:rsidR="007620F2">
        <w:t xml:space="preserve"> or</w:t>
      </w:r>
      <w:r w:rsidRPr="00823862">
        <w:t xml:space="preserve"> </w:t>
      </w:r>
      <w:r w:rsidR="00EF58BF">
        <w:t>extrahepatic/</w:t>
      </w:r>
      <w:r w:rsidRPr="00823862">
        <w:t>metastatic</w:t>
      </w:r>
    </w:p>
    <w:p w14:paraId="19D6CAD1" w14:textId="1491C65D" w:rsidR="00823862" w:rsidRPr="00EC665F" w:rsidRDefault="00823862" w:rsidP="00EC665F">
      <w:pPr>
        <w:pStyle w:val="ListParagraph"/>
      </w:pPr>
      <w:r w:rsidRPr="00823862">
        <w:t xml:space="preserve">The </w:t>
      </w:r>
      <w:r w:rsidR="007620F2">
        <w:t>member is ineligible for transplant</w:t>
      </w:r>
    </w:p>
    <w:p w14:paraId="602F7D81" w14:textId="30F61CAD" w:rsidR="00823862" w:rsidRPr="006A7A19" w:rsidRDefault="00823862" w:rsidP="00CC7BFA">
      <w:pPr>
        <w:pStyle w:val="Heading3"/>
        <w:rPr>
          <w:vertAlign w:val="superscript"/>
        </w:rPr>
      </w:pPr>
      <w:r w:rsidRPr="00823862">
        <w:t>Esophageal, Esophagogastric Junction and Gastric Cancer</w:t>
      </w:r>
      <w:r w:rsidR="00652D1E">
        <w:rPr>
          <w:vertAlign w:val="superscript"/>
        </w:rPr>
        <w:t>2,4</w:t>
      </w:r>
    </w:p>
    <w:p w14:paraId="18EEA5F1" w14:textId="0C29AAE1" w:rsidR="00823862" w:rsidRPr="00823862" w:rsidRDefault="00823862" w:rsidP="00F015EA">
      <w:pPr>
        <w:pStyle w:val="BodyText"/>
        <w:rPr>
          <w:rFonts w:ascii="Segoe UI" w:hAnsi="Segoe UI" w:cs="Segoe UI"/>
          <w:sz w:val="18"/>
          <w:szCs w:val="18"/>
        </w:rPr>
      </w:pPr>
      <w:r w:rsidRPr="00823862">
        <w:t>Authorization of 3 months for a total of 3 doses may be granted for treatment of esophageal, esophagogastric junction or gastric cancer when all of the following criteria are met:</w:t>
      </w:r>
    </w:p>
    <w:p w14:paraId="1660CD7E" w14:textId="358D2CF4" w:rsidR="00823862" w:rsidRPr="00823862" w:rsidRDefault="00823862" w:rsidP="00F015EA">
      <w:pPr>
        <w:pStyle w:val="ListBullet"/>
      </w:pPr>
      <w:r w:rsidRPr="00823862">
        <w:t xml:space="preserve">The requested medication will be used in combination with </w:t>
      </w:r>
      <w:proofErr w:type="spellStart"/>
      <w:r w:rsidRPr="00823862">
        <w:t>tremelimumab</w:t>
      </w:r>
      <w:proofErr w:type="spellEnd"/>
      <w:r w:rsidRPr="00823862">
        <w:t xml:space="preserve"> (</w:t>
      </w:r>
      <w:proofErr w:type="spellStart"/>
      <w:r w:rsidRPr="00823862">
        <w:t>Imjudo</w:t>
      </w:r>
      <w:proofErr w:type="spellEnd"/>
      <w:r w:rsidRPr="00823862">
        <w:t>) for neoadjuvant treatment</w:t>
      </w:r>
    </w:p>
    <w:p w14:paraId="1AB8246E" w14:textId="0402591C" w:rsidR="00823862" w:rsidRPr="00823862" w:rsidRDefault="00823862" w:rsidP="00F015EA">
      <w:pPr>
        <w:pStyle w:val="ListBullet"/>
      </w:pPr>
      <w:r w:rsidRPr="00823862">
        <w:t>The tumor is microsatellite instability-high (MSI-H) or deficient mismatch repair (</w:t>
      </w:r>
      <w:proofErr w:type="spellStart"/>
      <w:r w:rsidRPr="00823862">
        <w:t>dMMR</w:t>
      </w:r>
      <w:proofErr w:type="spellEnd"/>
      <w:r w:rsidRPr="00823862">
        <w:t>)</w:t>
      </w:r>
    </w:p>
    <w:p w14:paraId="16076CC3" w14:textId="6921357A" w:rsidR="00823862" w:rsidRDefault="00823862" w:rsidP="00EC665F">
      <w:pPr>
        <w:pStyle w:val="ListBullet"/>
      </w:pPr>
      <w:r w:rsidRPr="00823862">
        <w:t>The member is medically fit for surgery</w:t>
      </w:r>
    </w:p>
    <w:p w14:paraId="6950E432" w14:textId="7FF6ABC8" w:rsidR="00575E5D" w:rsidRPr="006A7A19" w:rsidRDefault="00AC4B8F" w:rsidP="00AC4B8F">
      <w:pPr>
        <w:pStyle w:val="Heading3"/>
        <w:rPr>
          <w:vertAlign w:val="superscript"/>
        </w:rPr>
      </w:pPr>
      <w:r>
        <w:t>Endometrial Cancer</w:t>
      </w:r>
      <w:r w:rsidR="0094764D">
        <w:rPr>
          <w:vertAlign w:val="superscript"/>
        </w:rPr>
        <w:t>1</w:t>
      </w:r>
    </w:p>
    <w:p w14:paraId="636E2709" w14:textId="77F26475" w:rsidR="00DF2FA7" w:rsidRDefault="00B909E9" w:rsidP="00DF2FA7">
      <w:pPr>
        <w:pStyle w:val="BodyText"/>
      </w:pPr>
      <w:r w:rsidRPr="00B909E9">
        <w:t>Authorization of 6 months may be granted for treatment of advanced or recurrent endometrial cancer when all of the following criteria are met:</w:t>
      </w:r>
    </w:p>
    <w:p w14:paraId="6E681FB6" w14:textId="611E0B3C" w:rsidR="00B909E9" w:rsidRDefault="006E3B1F" w:rsidP="00B909E9">
      <w:pPr>
        <w:pStyle w:val="ListParagraph"/>
      </w:pPr>
      <w:r w:rsidRPr="006E3B1F">
        <w:t>The requested medication will be used in combination with carboplatin and paclitaxel followed by use as a single agent</w:t>
      </w:r>
      <w:r w:rsidR="00DE213A">
        <w:t>.</w:t>
      </w:r>
    </w:p>
    <w:p w14:paraId="26027BAE" w14:textId="37739C34" w:rsidR="006E3B1F" w:rsidRPr="00DF2FA7" w:rsidRDefault="00DE213A" w:rsidP="006A7A19">
      <w:pPr>
        <w:pStyle w:val="ListParagraph"/>
      </w:pPr>
      <w:r w:rsidRPr="00DE213A">
        <w:t>The tumor is deficient mismatch repair (</w:t>
      </w:r>
      <w:proofErr w:type="spellStart"/>
      <w:r w:rsidRPr="00DE213A">
        <w:t>dMMR</w:t>
      </w:r>
      <w:proofErr w:type="spellEnd"/>
      <w:r w:rsidRPr="00DE213A">
        <w:t>)</w:t>
      </w:r>
    </w:p>
    <w:p w14:paraId="35E43EDF" w14:textId="06BBF703" w:rsidR="00823862" w:rsidRPr="006A7A19" w:rsidRDefault="00823862" w:rsidP="00F015EA">
      <w:pPr>
        <w:pStyle w:val="Heading3"/>
        <w:rPr>
          <w:vertAlign w:val="superscript"/>
        </w:rPr>
      </w:pPr>
      <w:r w:rsidRPr="00823862">
        <w:t>Biliary Tract Cancer</w:t>
      </w:r>
      <w:r w:rsidR="00447A56">
        <w:rPr>
          <w:vertAlign w:val="superscript"/>
        </w:rPr>
        <w:t>1,2</w:t>
      </w:r>
    </w:p>
    <w:p w14:paraId="50C34CC8" w14:textId="6BC652AF" w:rsidR="00823862" w:rsidRDefault="00823862" w:rsidP="00F015EA">
      <w:pPr>
        <w:pStyle w:val="BodyText"/>
      </w:pPr>
      <w:r w:rsidRPr="00823862">
        <w:t xml:space="preserve">Authorization of 6 months may be granted for treatment of biliary tract cancer when the requested medication will be used in combination with cisplatin and gemcitabine to treat locally advanced, </w:t>
      </w:r>
      <w:r w:rsidR="00001367">
        <w:t xml:space="preserve">locoregionally advanced, </w:t>
      </w:r>
      <w:r w:rsidRPr="00823862">
        <w:t>unresectable or resected gross residual (R2) disease, or metastatic biliary tract cancer (intrahepatic cholangiocarcinoma, extrahepatic cholangiocarcinoma, or gallbladder cancer) or for disease recurrence after surgery and adjuvant therapy.</w:t>
      </w:r>
    </w:p>
    <w:p w14:paraId="6510E589" w14:textId="11352788" w:rsidR="004C6C11" w:rsidRDefault="004C6C11" w:rsidP="00F015EA">
      <w:pPr>
        <w:pStyle w:val="BodyText"/>
        <w:rPr>
          <w:sz w:val="32"/>
          <w:szCs w:val="32"/>
          <w:vertAlign w:val="superscript"/>
        </w:rPr>
      </w:pPr>
      <w:r w:rsidRPr="008E057B">
        <w:rPr>
          <w:sz w:val="32"/>
          <w:szCs w:val="32"/>
        </w:rPr>
        <w:t>Bladder Cancer</w:t>
      </w:r>
      <w:r w:rsidRPr="008E057B">
        <w:rPr>
          <w:sz w:val="32"/>
          <w:szCs w:val="32"/>
          <w:vertAlign w:val="superscript"/>
        </w:rPr>
        <w:t>2</w:t>
      </w:r>
      <w:r w:rsidR="00344960">
        <w:rPr>
          <w:sz w:val="32"/>
          <w:szCs w:val="32"/>
          <w:vertAlign w:val="superscript"/>
        </w:rPr>
        <w:t>,6</w:t>
      </w:r>
    </w:p>
    <w:p w14:paraId="0896D10B" w14:textId="3412BBAF" w:rsidR="004C6C11" w:rsidRPr="001A0EE9" w:rsidRDefault="004C6C11" w:rsidP="00F015EA">
      <w:pPr>
        <w:pStyle w:val="BodyText"/>
        <w:rPr>
          <w:rFonts w:cs="Segoe UI"/>
        </w:rPr>
      </w:pPr>
      <w:r w:rsidRPr="00823862">
        <w:t xml:space="preserve">Authorization of 6 months may be granted for </w:t>
      </w:r>
      <w:r>
        <w:t xml:space="preserve">perioperative/sandwich </w:t>
      </w:r>
      <w:r w:rsidRPr="00823862">
        <w:t>treatment of</w:t>
      </w:r>
      <w:r>
        <w:t xml:space="preserve"> </w:t>
      </w:r>
      <w:r w:rsidR="00543ACB">
        <w:t xml:space="preserve">stage II or IIIA </w:t>
      </w:r>
      <w:r>
        <w:t xml:space="preserve">bladder cancer when used in combination with gemcitabine and cisplatin prior to cystectomy followed by </w:t>
      </w:r>
      <w:r w:rsidR="002D643F">
        <w:t>durvalumab</w:t>
      </w:r>
      <w:r>
        <w:t xml:space="preserve"> after surgery.</w:t>
      </w:r>
    </w:p>
    <w:p w14:paraId="3A643EC3" w14:textId="30179CC1" w:rsidR="00A501AC" w:rsidRPr="00BD1CC1" w:rsidRDefault="00A501AC" w:rsidP="00A501AC">
      <w:pPr>
        <w:pStyle w:val="Heading2"/>
      </w:pPr>
      <w:r w:rsidRPr="00BD1CC1">
        <w:t>Continuation of Therapy</w:t>
      </w:r>
    </w:p>
    <w:p w14:paraId="601FC4CE" w14:textId="14E572DB" w:rsidR="00A953E9" w:rsidRPr="00A953E9" w:rsidRDefault="00A953E9" w:rsidP="00A953E9">
      <w:pPr>
        <w:pStyle w:val="Heading3"/>
      </w:pPr>
      <w:r w:rsidRPr="00A953E9">
        <w:t>NSCLC</w:t>
      </w:r>
    </w:p>
    <w:p w14:paraId="3DCE0973" w14:textId="2DE5042F" w:rsidR="00A953E9" w:rsidRPr="006A7A19" w:rsidRDefault="00A953E9" w:rsidP="00A953E9">
      <w:pPr>
        <w:pStyle w:val="BodyText"/>
        <w:rPr>
          <w:rFonts w:cs="Segoe UI"/>
        </w:rPr>
      </w:pPr>
      <w:r w:rsidRPr="00A953E9">
        <w:t xml:space="preserve">Authorization of 6 months may be granted for continued treatment in members requesting reauthorization for NSCLC when </w:t>
      </w:r>
      <w:r w:rsidR="007620F2">
        <w:t>any</w:t>
      </w:r>
      <w:r w:rsidRPr="00A953E9">
        <w:t xml:space="preserve"> of the following criteria are met:</w:t>
      </w:r>
    </w:p>
    <w:p w14:paraId="244D48DC" w14:textId="17752025" w:rsidR="00A953E9" w:rsidRPr="00A953E9" w:rsidRDefault="00A953E9" w:rsidP="00A953E9">
      <w:pPr>
        <w:pStyle w:val="ListBullet"/>
      </w:pPr>
      <w:r w:rsidRPr="00A953E9">
        <w:t xml:space="preserve">The member has unresectable stage II or III </w:t>
      </w:r>
      <w:r w:rsidRPr="00A953E9">
        <w:rPr>
          <w:color w:val="000000"/>
        </w:rPr>
        <w:t>NSCLC and</w:t>
      </w:r>
      <w:r w:rsidRPr="00A953E9">
        <w:t xml:space="preserve"> there is no evidence of unacceptable toxicity or disease progression while on the current regimen. </w:t>
      </w:r>
      <w:r w:rsidRPr="003649C6">
        <w:t>(up to 12 months total)</w:t>
      </w:r>
    </w:p>
    <w:p w14:paraId="0D2950D8" w14:textId="74997F1F" w:rsidR="00A953E9" w:rsidRDefault="00A953E9" w:rsidP="008B5A43">
      <w:pPr>
        <w:pStyle w:val="ListBullet"/>
      </w:pPr>
      <w:r w:rsidRPr="00A953E9">
        <w:t xml:space="preserve">The member has recurrent, advanced or metastatic NSCLC </w:t>
      </w:r>
      <w:r w:rsidRPr="00A953E9">
        <w:rPr>
          <w:color w:val="000000"/>
        </w:rPr>
        <w:t>and</w:t>
      </w:r>
      <w:r w:rsidRPr="00A953E9">
        <w:t xml:space="preserve"> there is no evidence of unacceptable toxicity or disease progression while on the current regimen.</w:t>
      </w:r>
    </w:p>
    <w:p w14:paraId="798DCE26" w14:textId="2AFAAF65" w:rsidR="007620F2" w:rsidRPr="008B5A43" w:rsidRDefault="007620F2" w:rsidP="008B5A43">
      <w:pPr>
        <w:pStyle w:val="ListBullet"/>
      </w:pPr>
      <w:r>
        <w:t>The member has resectable NSCLC and there is no evidence of unacceptable toxicity or disease progression while on the current regimen (up to 12 cycles after surgery).</w:t>
      </w:r>
    </w:p>
    <w:p w14:paraId="32F490B8" w14:textId="5FF4E7FB" w:rsidR="00715B06" w:rsidRPr="00A953E9" w:rsidRDefault="00715B06" w:rsidP="00715B06">
      <w:pPr>
        <w:pStyle w:val="Heading3"/>
      </w:pPr>
      <w:r>
        <w:t xml:space="preserve">Limited Stage </w:t>
      </w:r>
      <w:r w:rsidRPr="00A953E9">
        <w:t>SCLC</w:t>
      </w:r>
    </w:p>
    <w:p w14:paraId="78280345" w14:textId="0B5E7564" w:rsidR="00715B06" w:rsidRPr="00A953E9" w:rsidRDefault="00715B06" w:rsidP="003649C6">
      <w:pPr>
        <w:pStyle w:val="BodyText"/>
      </w:pPr>
      <w:r w:rsidRPr="00A953E9">
        <w:t xml:space="preserve">Authorization of 6 months may be granted for continued treatment in members requesting reauthorization for </w:t>
      </w:r>
      <w:r>
        <w:t xml:space="preserve">limited stage </w:t>
      </w:r>
      <w:r w:rsidRPr="00A953E9">
        <w:t xml:space="preserve">SCLC when there is no evidence of unacceptable toxicity or disease progression while on the current regimen. </w:t>
      </w:r>
      <w:r w:rsidRPr="006168AE">
        <w:t xml:space="preserve">(up to </w:t>
      </w:r>
      <w:r>
        <w:t>24</w:t>
      </w:r>
      <w:r w:rsidRPr="006168AE">
        <w:t xml:space="preserve"> months total)</w:t>
      </w:r>
      <w:r>
        <w:t>.</w:t>
      </w:r>
    </w:p>
    <w:p w14:paraId="050F30A2" w14:textId="4DF097A8" w:rsidR="00A953E9" w:rsidRPr="00A953E9" w:rsidRDefault="00A953E9" w:rsidP="00A953E9">
      <w:pPr>
        <w:pStyle w:val="Heading3"/>
      </w:pPr>
      <w:r w:rsidRPr="00A953E9">
        <w:t>Esophageal, Esophagogastric Junction and Gastric Cancer</w:t>
      </w:r>
    </w:p>
    <w:p w14:paraId="763CF073" w14:textId="763CAB7A" w:rsidR="00A953E9" w:rsidRPr="006A7A19" w:rsidRDefault="00A953E9" w:rsidP="00A11719">
      <w:pPr>
        <w:pStyle w:val="BodyText"/>
        <w:rPr>
          <w:rFonts w:cs="Segoe UI"/>
        </w:rPr>
      </w:pPr>
      <w:r w:rsidRPr="00A953E9">
        <w:t>Authorization of 3 months for a total of 3 doses may be granted for treatment of esophageal, esophagogastric junction or gastric cancer. Reauthorization may be granted only when the member did not receive a total of 3 doses from the initial approval.</w:t>
      </w:r>
    </w:p>
    <w:p w14:paraId="226E06A2" w14:textId="290900CB" w:rsidR="00344960" w:rsidRDefault="00344960" w:rsidP="00A953E9">
      <w:pPr>
        <w:pStyle w:val="Heading3"/>
      </w:pPr>
      <w:r>
        <w:t>Bladder Cancer</w:t>
      </w:r>
    </w:p>
    <w:p w14:paraId="312C4064" w14:textId="66D98700" w:rsidR="00344960" w:rsidRPr="00344960" w:rsidRDefault="00344960" w:rsidP="008E057B">
      <w:pPr>
        <w:pStyle w:val="BodyText"/>
      </w:pPr>
      <w:r w:rsidRPr="00A953E9">
        <w:t xml:space="preserve">Authorization of 6 months may be granted for continued treatment in members requesting reauthorization for </w:t>
      </w:r>
      <w:r>
        <w:t>bladder cancer</w:t>
      </w:r>
      <w:r w:rsidRPr="00A953E9">
        <w:t xml:space="preserve"> when there is no evidence of unacceptable toxicity or disease progression while on the current regimen.</w:t>
      </w:r>
      <w:r>
        <w:t xml:space="preserve"> (Up to 12 cycles)</w:t>
      </w:r>
    </w:p>
    <w:p w14:paraId="1AE15D12" w14:textId="7E912CBB" w:rsidR="00A953E9" w:rsidRPr="00A953E9" w:rsidRDefault="00A953E9" w:rsidP="00A953E9">
      <w:pPr>
        <w:pStyle w:val="Heading3"/>
      </w:pPr>
      <w:r w:rsidRPr="00A953E9">
        <w:t>All other indications</w:t>
      </w:r>
    </w:p>
    <w:p w14:paraId="005DCA3A" w14:textId="30C84A0A" w:rsidR="00CC1C9A" w:rsidRPr="006A7A19" w:rsidRDefault="00A953E9" w:rsidP="00AA1E6A">
      <w:pPr>
        <w:pStyle w:val="BodyText"/>
        <w:rPr>
          <w:rFonts w:cs="Segoe UI"/>
        </w:rPr>
      </w:pPr>
      <w:r w:rsidRPr="00A953E9">
        <w:t xml:space="preserve">Authorization of 6 months may be granted for continued treatment in members requesting reauthorization for an indication listed in </w:t>
      </w:r>
      <w:r w:rsidR="007620F2">
        <w:t>the coverage criteria</w:t>
      </w:r>
      <w:r w:rsidRPr="00A953E9">
        <w:t xml:space="preserve"> when there is no evidence of unacceptable toxicity or disease progression while on the current regimen.</w:t>
      </w:r>
    </w:p>
    <w:p w14:paraId="0A275F8B" w14:textId="50096640" w:rsidR="000E0438" w:rsidRPr="008D1B34" w:rsidRDefault="000E0438" w:rsidP="000E0438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8D1B34">
        <w:t>References</w:t>
      </w:r>
    </w:p>
    <w:p w14:paraId="614D70D2" w14:textId="46E5149D" w:rsidR="008B5A43" w:rsidRPr="006A27C5" w:rsidRDefault="008B5A43" w:rsidP="006A27C5">
      <w:pPr>
        <w:pStyle w:val="ReferenceOrdered"/>
      </w:pPr>
      <w:r w:rsidRPr="006A27C5">
        <w:t xml:space="preserve">Imfinzi [package insert]. Wilmington, DE: AstraZeneca Pharmaceuticals LP; </w:t>
      </w:r>
      <w:r w:rsidR="009F51E0">
        <w:t>December</w:t>
      </w:r>
      <w:r w:rsidRPr="006A27C5">
        <w:t xml:space="preserve"> </w:t>
      </w:r>
      <w:r w:rsidR="00172612" w:rsidRPr="006A27C5">
        <w:t>202</w:t>
      </w:r>
      <w:r w:rsidR="00172612">
        <w:t>4</w:t>
      </w:r>
      <w:r w:rsidRPr="006A27C5">
        <w:t>.</w:t>
      </w:r>
    </w:p>
    <w:p w14:paraId="72EE075F" w14:textId="6A088F9F" w:rsidR="008B5A43" w:rsidRPr="006A27C5" w:rsidRDefault="008B5A43" w:rsidP="006A27C5">
      <w:pPr>
        <w:pStyle w:val="ReferenceOrdered"/>
      </w:pPr>
      <w:r w:rsidRPr="006A27C5">
        <w:t>The NCCN Drugs &amp; Biologics Compendium® © 202</w:t>
      </w:r>
      <w:r w:rsidR="002D643F">
        <w:t>5</w:t>
      </w:r>
      <w:r w:rsidRPr="006A27C5">
        <w:t xml:space="preserve"> National Comprehensive Cancer Network, Inc. http://www.nccn.org. Accessed </w:t>
      </w:r>
      <w:r w:rsidR="002D643F">
        <w:t>March</w:t>
      </w:r>
      <w:r w:rsidR="006A5733">
        <w:t xml:space="preserve"> </w:t>
      </w:r>
      <w:r w:rsidR="002D643F">
        <w:t>6</w:t>
      </w:r>
      <w:r w:rsidRPr="006A27C5">
        <w:t>, 202</w:t>
      </w:r>
      <w:r w:rsidR="002D643F">
        <w:t>5</w:t>
      </w:r>
      <w:r w:rsidRPr="006A27C5">
        <w:t>.</w:t>
      </w:r>
    </w:p>
    <w:p w14:paraId="309DB49C" w14:textId="45CEA4A4" w:rsidR="008B5A43" w:rsidRPr="006A27C5" w:rsidRDefault="008B5A43" w:rsidP="006A27C5">
      <w:pPr>
        <w:pStyle w:val="ReferenceOrdered"/>
      </w:pPr>
      <w:r w:rsidRPr="006A27C5">
        <w:t xml:space="preserve">IBM Micromedex® DRUGDEX® (electronic version). IBM Watson Health, Greenwood Village, Colorado, USA. Available at </w:t>
      </w:r>
      <w:r w:rsidR="00A12B41" w:rsidRPr="006A7A19">
        <w:t>https://www.micromedexsolutions.com</w:t>
      </w:r>
      <w:r w:rsidR="00575C70" w:rsidRPr="00575C70">
        <w:t xml:space="preserve"> Accessed</w:t>
      </w:r>
      <w:r w:rsidR="00575C70" w:rsidRPr="00575C70">
        <w:rPr>
          <w:iCs/>
        </w:rPr>
        <w:t xml:space="preserve"> </w:t>
      </w:r>
      <w:r w:rsidR="00636CB5">
        <w:rPr>
          <w:iCs/>
        </w:rPr>
        <w:t>December</w:t>
      </w:r>
      <w:r w:rsidR="00575C70" w:rsidRPr="00575C70">
        <w:rPr>
          <w:iCs/>
        </w:rPr>
        <w:t xml:space="preserve"> </w:t>
      </w:r>
      <w:r w:rsidR="00636CB5">
        <w:rPr>
          <w:iCs/>
        </w:rPr>
        <w:t>2</w:t>
      </w:r>
      <w:r w:rsidRPr="006A27C5">
        <w:t>, 202</w:t>
      </w:r>
      <w:r w:rsidR="007620F2">
        <w:t>4</w:t>
      </w:r>
      <w:r w:rsidRPr="006A27C5">
        <w:t>.</w:t>
      </w:r>
    </w:p>
    <w:p w14:paraId="47E1A10C" w14:textId="72EA2257" w:rsidR="00C44990" w:rsidRDefault="008B5A43" w:rsidP="00DF6896">
      <w:pPr>
        <w:pStyle w:val="ReferenceOrdered"/>
      </w:pPr>
      <w:r w:rsidRPr="00B704AB">
        <w:rPr>
          <w:lang w:val="pt-BR"/>
        </w:rPr>
        <w:t xml:space="preserve">Pietrantonio, Filippo, Raimondi Alessandra, Lonardi Sara, et al. </w:t>
      </w:r>
      <w:r w:rsidRPr="006A27C5">
        <w:t xml:space="preserve">Infinity: A multicenter, single-arm, multi-cohort, phase II trial of </w:t>
      </w:r>
      <w:proofErr w:type="spellStart"/>
      <w:r w:rsidRPr="006A27C5">
        <w:t>tremelimumab</w:t>
      </w:r>
      <w:proofErr w:type="spellEnd"/>
      <w:r w:rsidRPr="006A27C5">
        <w:t xml:space="preserve"> and durvalumab as neoadjuvant treatment of patients with microsatellite instability-high (MSI) resectable gastric or gastroesophageal junction adenocarcinoma (GAC/GEJAC). Journal of Clinical Oncology. 2023; 4: 358.</w:t>
      </w:r>
    </w:p>
    <w:p w14:paraId="3785E9E9" w14:textId="5C492BE6" w:rsidR="009B3387" w:rsidRDefault="009B3387" w:rsidP="00EC0100">
      <w:pPr>
        <w:pStyle w:val="ReferenceOrdered"/>
      </w:pPr>
      <w:r>
        <w:t xml:space="preserve">NCCN Clinical Practice Guidelines in Oncology </w:t>
      </w:r>
      <w:r w:rsidRPr="00C62987">
        <w:t xml:space="preserve">(NCCN Guidelines): </w:t>
      </w:r>
      <w:r>
        <w:t>Small Cell Lung Cancer</w:t>
      </w:r>
      <w:r w:rsidRPr="00C62987">
        <w:t xml:space="preserve">. Version </w:t>
      </w:r>
      <w:r>
        <w:t>3</w:t>
      </w:r>
      <w:r w:rsidRPr="00C62987">
        <w:t>.202</w:t>
      </w:r>
      <w:r>
        <w:t>5</w:t>
      </w:r>
      <w:r w:rsidRPr="00C62987">
        <w:t xml:space="preserve">. Accessed </w:t>
      </w:r>
      <w:r>
        <w:t>December</w:t>
      </w:r>
      <w:r w:rsidRPr="00C62987">
        <w:t xml:space="preserve"> </w:t>
      </w:r>
      <w:r>
        <w:t>2</w:t>
      </w:r>
      <w:r w:rsidRPr="00C62987">
        <w:t>, 202</w:t>
      </w:r>
      <w:r>
        <w:t>4</w:t>
      </w:r>
      <w:r w:rsidRPr="00C62987">
        <w:t>.</w:t>
      </w:r>
      <w:r>
        <w:t>h</w:t>
      </w:r>
      <w:r w:rsidRPr="009B3387">
        <w:t>ttps://www.nccn.org/professionals/physician_gls/pdf/sclc.pdf</w:t>
      </w:r>
      <w:r>
        <w:t>.</w:t>
      </w:r>
    </w:p>
    <w:p w14:paraId="64293405" w14:textId="40FB8844" w:rsidR="009B3387" w:rsidRDefault="002D643F" w:rsidP="00DE496D">
      <w:pPr>
        <w:pStyle w:val="ReferenceOrdered"/>
        <w:numPr>
          <w:ilvl w:val="0"/>
          <w:numId w:val="0"/>
        </w:numPr>
        <w:ind w:left="360"/>
      </w:pPr>
      <w:r>
        <w:t xml:space="preserve">Powles, T, Catto, J, </w:t>
      </w:r>
      <w:proofErr w:type="spellStart"/>
      <w:r>
        <w:t>Galsky</w:t>
      </w:r>
      <w:proofErr w:type="spellEnd"/>
      <w:r>
        <w:t>, M, et al. Perioperative Durvalumab with Neoadjuvant Chemotherapy in Operable Bladder Cancer. N Engl J Med. 2024;391:1773-1786.</w:t>
      </w:r>
    </w:p>
    <w:sectPr w:rsidR="009B3387" w:rsidSect="005A3707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32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517B6" w14:textId="77777777" w:rsidR="000567F8" w:rsidRDefault="000567F8">
      <w:r>
        <w:separator/>
      </w:r>
    </w:p>
  </w:endnote>
  <w:endnote w:type="continuationSeparator" w:id="0">
    <w:p w14:paraId="0B584798" w14:textId="77777777" w:rsidR="000567F8" w:rsidRDefault="000567F8">
      <w:r>
        <w:continuationSeparator/>
      </w:r>
    </w:p>
  </w:endnote>
  <w:endnote w:type="continuationNotice" w:id="1">
    <w:p w14:paraId="4C14CA7A" w14:textId="77777777" w:rsidR="000567F8" w:rsidRDefault="000567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32A181D4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A7A8D" w:rsidRPr="007A7A8D">
      <w:rPr>
        <w:rFonts w:cs="Arial"/>
        <w:noProof/>
        <w:sz w:val="16"/>
        <w:szCs w:val="16"/>
      </w:rPr>
      <w:t>Imfinzi</w:t>
    </w:r>
    <w:r w:rsidR="007A7A8D">
      <w:rPr>
        <w:rFonts w:cs="Arial"/>
        <w:noProof/>
        <w:snapToGrid w:val="0"/>
        <w:color w:val="000000"/>
        <w:sz w:val="16"/>
        <w:szCs w:val="16"/>
      </w:rPr>
      <w:t xml:space="preserve"> SGM 1820-A</w:t>
    </w:r>
    <w:r w:rsidR="007A7A8D" w:rsidRPr="007A7A8D">
      <w:rPr>
        <w:rFonts w:cs="Arial"/>
        <w:noProof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715B06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3881475A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575922C" w:rsidR="00F75C81" w:rsidRPr="00AA1E6A" w:rsidRDefault="00C36B72" w:rsidP="00DF689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809C313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7A7A8D" w:rsidRPr="007A7A8D">
      <w:rPr>
        <w:rFonts w:cs="Arial"/>
        <w:noProof/>
        <w:sz w:val="16"/>
        <w:szCs w:val="16"/>
      </w:rPr>
      <w:t>Imfinzi</w:t>
    </w:r>
    <w:r w:rsidR="007A7A8D">
      <w:rPr>
        <w:rFonts w:cs="Arial"/>
        <w:noProof/>
        <w:snapToGrid w:val="0"/>
        <w:color w:val="000000"/>
        <w:sz w:val="16"/>
        <w:szCs w:val="16"/>
      </w:rPr>
      <w:t xml:space="preserve"> SGM 1820-A</w:t>
    </w:r>
    <w:r w:rsidR="007A7A8D" w:rsidRPr="007A7A8D">
      <w:rPr>
        <w:rFonts w:cs="Arial"/>
        <w:noProof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715B06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049B6B50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59C2E55" w:rsidR="00ED04EC" w:rsidRPr="00F50D98" w:rsidRDefault="00F50D98" w:rsidP="00DF689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3BC9F" w14:textId="77777777" w:rsidR="000567F8" w:rsidRDefault="000567F8">
      <w:r>
        <w:separator/>
      </w:r>
    </w:p>
  </w:footnote>
  <w:footnote w:type="continuationSeparator" w:id="0">
    <w:p w14:paraId="06D2ECC8" w14:textId="77777777" w:rsidR="000567F8" w:rsidRDefault="000567F8">
      <w:r>
        <w:continuationSeparator/>
      </w:r>
    </w:p>
  </w:footnote>
  <w:footnote w:type="continuationNotice" w:id="1">
    <w:p w14:paraId="79C8F14D" w14:textId="77777777" w:rsidR="000567F8" w:rsidRDefault="000567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5A3707" w:rsidRPr="005A3707" w14:paraId="16262E63" w14:textId="77777777" w:rsidTr="006C1790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5A3707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5A3707">
            <w:rPr>
              <w:rFonts w:cs="Arial"/>
              <w:sz w:val="16"/>
              <w:szCs w:val="16"/>
            </w:rPr>
            <w:t>Reference number(s)</w:t>
          </w:r>
        </w:p>
      </w:tc>
    </w:tr>
    <w:tr w:rsidR="005A3707" w:rsidRPr="005A3707" w14:paraId="703C6588" w14:textId="77777777" w:rsidTr="006C1790">
      <w:trPr>
        <w:trHeight w:val="378"/>
        <w:jc w:val="right"/>
      </w:trPr>
      <w:tc>
        <w:tcPr>
          <w:tcW w:w="1854" w:type="dxa"/>
          <w:hideMark/>
        </w:tcPr>
        <w:p w14:paraId="51CE3E64" w14:textId="2B2DEC7A" w:rsidR="00ED04EC" w:rsidRPr="005A3707" w:rsidRDefault="002A4B86" w:rsidP="00ED04EC">
          <w:pPr>
            <w:pStyle w:val="Header"/>
            <w:rPr>
              <w:rFonts w:cs="Arial"/>
              <w:sz w:val="16"/>
              <w:szCs w:val="16"/>
            </w:rPr>
          </w:pPr>
          <w:r w:rsidRPr="005A3707">
            <w:rPr>
              <w:rFonts w:cs="Arial"/>
              <w:sz w:val="16"/>
              <w:szCs w:val="16"/>
            </w:rPr>
            <w:t>182</w:t>
          </w:r>
          <w:r w:rsidR="004E6A5A" w:rsidRPr="005A3707">
            <w:rPr>
              <w:rFonts w:cs="Arial"/>
              <w:sz w:val="16"/>
              <w:szCs w:val="16"/>
            </w:rPr>
            <w:t>0-A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6C1790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0F5383">
          <w:pPr>
            <w:pStyle w:val="Header"/>
            <w:rPr>
              <w:rFonts w:cs="Arial"/>
              <w:sz w:val="16"/>
              <w:szCs w:val="16"/>
            </w:rPr>
          </w:pPr>
          <w:r w:rsidRPr="004159B2">
            <w:rPr>
              <w:rFonts w:cs="Arial"/>
              <w:sz w:val="16"/>
              <w:szCs w:val="16"/>
            </w:rPr>
            <w:t>Reference number(s)</w:t>
          </w:r>
        </w:p>
      </w:tc>
    </w:tr>
    <w:tr w:rsidR="000F5383" w:rsidRPr="00ED04EC" w14:paraId="2259874D" w14:textId="77777777" w:rsidTr="006C1790">
      <w:trPr>
        <w:trHeight w:val="378"/>
        <w:jc w:val="right"/>
      </w:trPr>
      <w:tc>
        <w:tcPr>
          <w:tcW w:w="1854" w:type="dxa"/>
          <w:hideMark/>
        </w:tcPr>
        <w:p w14:paraId="475EFE95" w14:textId="0147328A" w:rsidR="000F5383" w:rsidRPr="00AA1E6A" w:rsidRDefault="001A0669" w:rsidP="000F5383">
          <w:pPr>
            <w:pStyle w:val="Header"/>
            <w:rPr>
              <w:rFonts w:ascii="Arial" w:hAnsi="Arial" w:cs="Arial"/>
              <w:color w:val="FF0000"/>
              <w:sz w:val="16"/>
              <w:szCs w:val="16"/>
            </w:rPr>
          </w:pPr>
          <w:r w:rsidRPr="0034771D">
            <w:rPr>
              <w:rFonts w:cs="Arial"/>
              <w:sz w:val="16"/>
              <w:szCs w:val="16"/>
            </w:rPr>
            <w:t>1820-A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2935153E"/>
    <w:multiLevelType w:val="multilevel"/>
    <w:tmpl w:val="21180F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F6BF4"/>
    <w:multiLevelType w:val="multilevel"/>
    <w:tmpl w:val="64D80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745BC"/>
    <w:multiLevelType w:val="hybridMultilevel"/>
    <w:tmpl w:val="7A629EB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F2163"/>
    <w:multiLevelType w:val="hybridMultilevel"/>
    <w:tmpl w:val="3BDCED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19"/>
  </w:num>
  <w:num w:numId="3" w16cid:durableId="611589570">
    <w:abstractNumId w:val="1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5"/>
  </w:num>
  <w:num w:numId="17" w16cid:durableId="2128498676">
    <w:abstractNumId w:val="21"/>
  </w:num>
  <w:num w:numId="18" w16cid:durableId="299724409">
    <w:abstractNumId w:val="18"/>
  </w:num>
  <w:num w:numId="19" w16cid:durableId="214585573">
    <w:abstractNumId w:val="13"/>
  </w:num>
  <w:num w:numId="20" w16cid:durableId="1066490929">
    <w:abstractNumId w:val="23"/>
  </w:num>
  <w:num w:numId="21" w16cid:durableId="1887524763">
    <w:abstractNumId w:val="16"/>
  </w:num>
  <w:num w:numId="22" w16cid:durableId="62878346">
    <w:abstractNumId w:val="14"/>
  </w:num>
  <w:num w:numId="23" w16cid:durableId="2038041406">
    <w:abstractNumId w:val="20"/>
  </w:num>
  <w:num w:numId="24" w16cid:durableId="1846824645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1367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2DE"/>
    <w:rsid w:val="000203D2"/>
    <w:rsid w:val="00020F76"/>
    <w:rsid w:val="0002111C"/>
    <w:rsid w:val="00021A0A"/>
    <w:rsid w:val="00021C51"/>
    <w:rsid w:val="00021F62"/>
    <w:rsid w:val="00022D21"/>
    <w:rsid w:val="0002338D"/>
    <w:rsid w:val="00024232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4D9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67F8"/>
    <w:rsid w:val="00057358"/>
    <w:rsid w:val="00057C68"/>
    <w:rsid w:val="00057CD8"/>
    <w:rsid w:val="00060959"/>
    <w:rsid w:val="000609B8"/>
    <w:rsid w:val="00062816"/>
    <w:rsid w:val="00064347"/>
    <w:rsid w:val="00064396"/>
    <w:rsid w:val="00064CB5"/>
    <w:rsid w:val="00065AC6"/>
    <w:rsid w:val="00066D4B"/>
    <w:rsid w:val="0006765E"/>
    <w:rsid w:val="00067732"/>
    <w:rsid w:val="0006774C"/>
    <w:rsid w:val="00067D4F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4B6A"/>
    <w:rsid w:val="000A5AE5"/>
    <w:rsid w:val="000A71EC"/>
    <w:rsid w:val="000A7D51"/>
    <w:rsid w:val="000B057B"/>
    <w:rsid w:val="000B0B3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1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29DC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193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0EF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6D9C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5ABA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2612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0303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669"/>
    <w:rsid w:val="001A0E7C"/>
    <w:rsid w:val="001A0EE9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653"/>
    <w:rsid w:val="001C1C00"/>
    <w:rsid w:val="001C1C5D"/>
    <w:rsid w:val="001C2409"/>
    <w:rsid w:val="001C4413"/>
    <w:rsid w:val="001C498D"/>
    <w:rsid w:val="001C4AFD"/>
    <w:rsid w:val="001C506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477B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648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B23"/>
    <w:rsid w:val="00226F8F"/>
    <w:rsid w:val="002277CB"/>
    <w:rsid w:val="002303E5"/>
    <w:rsid w:val="0023263A"/>
    <w:rsid w:val="002326EC"/>
    <w:rsid w:val="00232BF5"/>
    <w:rsid w:val="0023356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212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B3D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884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526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8B1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0C9"/>
    <w:rsid w:val="002A245D"/>
    <w:rsid w:val="002A3CC2"/>
    <w:rsid w:val="002A4B86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4FE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43F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4960"/>
    <w:rsid w:val="003468AA"/>
    <w:rsid w:val="00346D5D"/>
    <w:rsid w:val="0034771D"/>
    <w:rsid w:val="00347C02"/>
    <w:rsid w:val="00350DF1"/>
    <w:rsid w:val="0035219E"/>
    <w:rsid w:val="003524E5"/>
    <w:rsid w:val="00352959"/>
    <w:rsid w:val="00352B5E"/>
    <w:rsid w:val="00352BC7"/>
    <w:rsid w:val="003535CF"/>
    <w:rsid w:val="003543BE"/>
    <w:rsid w:val="003544EA"/>
    <w:rsid w:val="00354AE7"/>
    <w:rsid w:val="00354CFD"/>
    <w:rsid w:val="00355509"/>
    <w:rsid w:val="00355DCF"/>
    <w:rsid w:val="00355F5E"/>
    <w:rsid w:val="003569BC"/>
    <w:rsid w:val="00360532"/>
    <w:rsid w:val="003608FE"/>
    <w:rsid w:val="00360F75"/>
    <w:rsid w:val="00362CE9"/>
    <w:rsid w:val="00363EF7"/>
    <w:rsid w:val="00363F55"/>
    <w:rsid w:val="0036404E"/>
    <w:rsid w:val="00364436"/>
    <w:rsid w:val="003649B7"/>
    <w:rsid w:val="003649C6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34D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A56"/>
    <w:rsid w:val="00447E12"/>
    <w:rsid w:val="004507D8"/>
    <w:rsid w:val="004511B5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67FB6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5E62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2EB"/>
    <w:rsid w:val="004C3CE7"/>
    <w:rsid w:val="004C3F91"/>
    <w:rsid w:val="004C4493"/>
    <w:rsid w:val="004C45E2"/>
    <w:rsid w:val="004C4D0C"/>
    <w:rsid w:val="004C53B2"/>
    <w:rsid w:val="004C64EE"/>
    <w:rsid w:val="004C6C11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A5A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DA3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945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3ACB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06"/>
    <w:rsid w:val="005615E4"/>
    <w:rsid w:val="0056215E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C70"/>
    <w:rsid w:val="00575E5D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707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4BFE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C93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33A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CB5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9B5"/>
    <w:rsid w:val="00643E65"/>
    <w:rsid w:val="00643E90"/>
    <w:rsid w:val="006447C5"/>
    <w:rsid w:val="0064565D"/>
    <w:rsid w:val="00645AFB"/>
    <w:rsid w:val="00645B20"/>
    <w:rsid w:val="00645D4F"/>
    <w:rsid w:val="00647646"/>
    <w:rsid w:val="0065036F"/>
    <w:rsid w:val="00650ADD"/>
    <w:rsid w:val="00651CAA"/>
    <w:rsid w:val="00651F6E"/>
    <w:rsid w:val="00652357"/>
    <w:rsid w:val="006525F5"/>
    <w:rsid w:val="00652D1E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5120"/>
    <w:rsid w:val="00696693"/>
    <w:rsid w:val="00697304"/>
    <w:rsid w:val="006A1D42"/>
    <w:rsid w:val="006A27C5"/>
    <w:rsid w:val="006A29D6"/>
    <w:rsid w:val="006A2EC3"/>
    <w:rsid w:val="006A3602"/>
    <w:rsid w:val="006A37C9"/>
    <w:rsid w:val="006A3CFD"/>
    <w:rsid w:val="006A3F40"/>
    <w:rsid w:val="006A5733"/>
    <w:rsid w:val="006A790B"/>
    <w:rsid w:val="006A7A19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790"/>
    <w:rsid w:val="006C1D68"/>
    <w:rsid w:val="006C3252"/>
    <w:rsid w:val="006C48F6"/>
    <w:rsid w:val="006C519A"/>
    <w:rsid w:val="006C52D4"/>
    <w:rsid w:val="006C5786"/>
    <w:rsid w:val="006C584B"/>
    <w:rsid w:val="006C6B5C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B1F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40E"/>
    <w:rsid w:val="006F2882"/>
    <w:rsid w:val="006F392F"/>
    <w:rsid w:val="006F3EAE"/>
    <w:rsid w:val="006F42E6"/>
    <w:rsid w:val="006F53D8"/>
    <w:rsid w:val="006F591F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0BC1"/>
    <w:rsid w:val="00711A79"/>
    <w:rsid w:val="007125BE"/>
    <w:rsid w:val="0071294F"/>
    <w:rsid w:val="00712EA4"/>
    <w:rsid w:val="00712F85"/>
    <w:rsid w:val="00714B4F"/>
    <w:rsid w:val="007150E9"/>
    <w:rsid w:val="00715ACF"/>
    <w:rsid w:val="00715B06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3BFF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9C6"/>
    <w:rsid w:val="00753B12"/>
    <w:rsid w:val="00753CC1"/>
    <w:rsid w:val="007547EA"/>
    <w:rsid w:val="00754A73"/>
    <w:rsid w:val="00755454"/>
    <w:rsid w:val="0075604E"/>
    <w:rsid w:val="00760B2C"/>
    <w:rsid w:val="007620F2"/>
    <w:rsid w:val="007622EA"/>
    <w:rsid w:val="007627F6"/>
    <w:rsid w:val="00762AE4"/>
    <w:rsid w:val="00762DDD"/>
    <w:rsid w:val="0076417D"/>
    <w:rsid w:val="00764D24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15"/>
    <w:rsid w:val="00775C9E"/>
    <w:rsid w:val="007775AA"/>
    <w:rsid w:val="00777708"/>
    <w:rsid w:val="007778B0"/>
    <w:rsid w:val="00777BDA"/>
    <w:rsid w:val="0078073B"/>
    <w:rsid w:val="007813E2"/>
    <w:rsid w:val="00781D02"/>
    <w:rsid w:val="007828E3"/>
    <w:rsid w:val="00782BB0"/>
    <w:rsid w:val="007831D6"/>
    <w:rsid w:val="0078392E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A7A8D"/>
    <w:rsid w:val="007B01B5"/>
    <w:rsid w:val="007B0229"/>
    <w:rsid w:val="007B0BFE"/>
    <w:rsid w:val="007B1B62"/>
    <w:rsid w:val="007B1C22"/>
    <w:rsid w:val="007B24BC"/>
    <w:rsid w:val="007B2FF7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742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B6"/>
    <w:rsid w:val="00821A95"/>
    <w:rsid w:val="00822077"/>
    <w:rsid w:val="00822A02"/>
    <w:rsid w:val="008231A9"/>
    <w:rsid w:val="0082357B"/>
    <w:rsid w:val="00823862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4003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900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5A43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57B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17090"/>
    <w:rsid w:val="0092167E"/>
    <w:rsid w:val="00921E32"/>
    <w:rsid w:val="00921E89"/>
    <w:rsid w:val="00922097"/>
    <w:rsid w:val="009220E9"/>
    <w:rsid w:val="00922DD4"/>
    <w:rsid w:val="00923A72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64D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207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387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73B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51E0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1719"/>
    <w:rsid w:val="00A1225D"/>
    <w:rsid w:val="00A12465"/>
    <w:rsid w:val="00A12A59"/>
    <w:rsid w:val="00A12B41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016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C0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9BB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53E9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48C9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B8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1F5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3DC4"/>
    <w:rsid w:val="00B14A97"/>
    <w:rsid w:val="00B14DD8"/>
    <w:rsid w:val="00B15017"/>
    <w:rsid w:val="00B155C3"/>
    <w:rsid w:val="00B16027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37BBD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2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4AB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09E9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0C9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4F53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0C62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87"/>
    <w:rsid w:val="00CA1FC9"/>
    <w:rsid w:val="00CA22D7"/>
    <w:rsid w:val="00CA273C"/>
    <w:rsid w:val="00CA3E70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073"/>
    <w:rsid w:val="00CC5112"/>
    <w:rsid w:val="00CC5559"/>
    <w:rsid w:val="00CC5E15"/>
    <w:rsid w:val="00CC63BD"/>
    <w:rsid w:val="00CC6AA8"/>
    <w:rsid w:val="00CC76FA"/>
    <w:rsid w:val="00CC7B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676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034"/>
    <w:rsid w:val="00D04349"/>
    <w:rsid w:val="00D048E0"/>
    <w:rsid w:val="00D04CA2"/>
    <w:rsid w:val="00D0573D"/>
    <w:rsid w:val="00D0592B"/>
    <w:rsid w:val="00D062C3"/>
    <w:rsid w:val="00D06BF8"/>
    <w:rsid w:val="00D07F51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444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1D7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67CB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BF1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3A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2FA7"/>
    <w:rsid w:val="00DF5638"/>
    <w:rsid w:val="00DF5C9E"/>
    <w:rsid w:val="00DF63C8"/>
    <w:rsid w:val="00DF64CA"/>
    <w:rsid w:val="00DF6896"/>
    <w:rsid w:val="00DF6C92"/>
    <w:rsid w:val="00DF7FFE"/>
    <w:rsid w:val="00E0039D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637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5CF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1F0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D31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9E8"/>
    <w:rsid w:val="00EC0CE4"/>
    <w:rsid w:val="00EC11FF"/>
    <w:rsid w:val="00EC26DE"/>
    <w:rsid w:val="00EC2860"/>
    <w:rsid w:val="00EC3FDF"/>
    <w:rsid w:val="00EC44FD"/>
    <w:rsid w:val="00EC45A5"/>
    <w:rsid w:val="00EC47B6"/>
    <w:rsid w:val="00EC665F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0C4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58BF"/>
    <w:rsid w:val="00EF6278"/>
    <w:rsid w:val="00EF7611"/>
    <w:rsid w:val="00EF7741"/>
    <w:rsid w:val="00EF78D0"/>
    <w:rsid w:val="00EF7C69"/>
    <w:rsid w:val="00F00080"/>
    <w:rsid w:val="00F00778"/>
    <w:rsid w:val="00F015EA"/>
    <w:rsid w:val="00F01821"/>
    <w:rsid w:val="00F01D9B"/>
    <w:rsid w:val="00F043C9"/>
    <w:rsid w:val="00F04FA6"/>
    <w:rsid w:val="00F0554B"/>
    <w:rsid w:val="00F0736F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9C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17F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3AA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6E3"/>
    <w:rsid w:val="00F729CF"/>
    <w:rsid w:val="00F72FC2"/>
    <w:rsid w:val="00F749A8"/>
    <w:rsid w:val="00F74F32"/>
    <w:rsid w:val="00F75C81"/>
    <w:rsid w:val="00F760BB"/>
    <w:rsid w:val="00F7685D"/>
    <w:rsid w:val="00F76A97"/>
    <w:rsid w:val="00F776B9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1D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EF1D08-B391-4B66-B2D9-D2826BB9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qFormat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0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8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7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8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0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26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06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68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5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46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2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38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94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1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3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9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04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7CEB7F-042D-4AC2-A353-45AA6371620B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1615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Specialty Guideline Management   Imfinzi (Durvalumab)</vt:lpstr>
    </vt:vector>
  </TitlesOfParts>
  <Manager/>
  <Company>CVS Health</Company>
  <LinksUpToDate>false</LinksUpToDate>
  <CharactersWithSpaces>10803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Imfinzi SGM 1820-A</dc:title>
  <dc:subject/>
  <dc:creator>CVS Caremark</dc:creator>
  <cp:keywords/>
  <dc:description/>
  <cp:lastModifiedBy>Huerta, Linda M</cp:lastModifiedBy>
  <cp:revision>3</cp:revision>
  <cp:lastPrinted>2018-01-09T02:01:00Z</cp:lastPrinted>
  <dcterms:created xsi:type="dcterms:W3CDTF">2025-05-07T14:32:00Z</dcterms:created>
  <dcterms:modified xsi:type="dcterms:W3CDTF">2025-05-07T14:32:00Z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117800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